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17</w:t>
      </w:r>
    </w:p>
    <w:p>
      <w:r>
        <w:t>Bundesgericht (BGE), 1996-01-10, FR</w:t>
      </w:r>
    </w:p>
    <w:p>
      <w:r>
        <w:rPr>
          <w:b/>
        </w:rPr>
        <w:t xml:space="preserve">Quelle: </w:t>
      </w:r>
      <w:r>
        <w:t>https://mcp.opencaselaw.ch/entscheid/bge_122 II 17</w:t>
      </w:r>
    </w:p>
    <w:p>
      <w:r>
        <w:t>FR: ATF 122 II 17</w:t>
      </w:r>
    </w:p>
    <w:p>
      <w:r>
        <w:t>IT: DTF 122 II 17</w:t>
      </w:r>
    </w:p>
    <w:p>
      <w:pPr>
        <w:pStyle w:val="Heading2"/>
      </w:pPr>
      <w:r>
        <w:t>Regeste</w:t>
      </w:r>
    </w:p>
    <w:p>
      <w:r>
        <w:t>Regeste Revision eines bundesgerichtlichen Entscheides; materielle Enteignung und Lärmzonen eines Flughafens; Art. 136 lit. d OG, Art. 42 ff. LFG. Revision eines bundesgerichtlichen Entscheides im Falle, dass gewisse in den Akten liegende erhebliche Tatsachen nicht berücksichtigt worden sind; Tragweite des Art. 136 lit. d OG (Zusammenfassung der Rechtsprechung; E. 3). Lärmzonenplan des Flughafens Genf und materielle Enteignung; die Einschränkungen des eidgenössischen Luftfahrtrechtes betreffend die Lärmzone B begründen keine materielle Enteignung (E. 7).</w:t>
      </w:r>
    </w:p>
    <w:p>
      <w:pPr>
        <w:pStyle w:val="Heading2"/>
      </w:pPr>
      <w:r>
        <w:t>Erwägungen</w:t>
      </w:r>
    </w:p>
    <w:p>
      <w:r>
        <w:rPr>
          <w:b/>
        </w:rPr>
        <w:t>E. 3</w:t>
      </w:r>
    </w:p>
    <w:p>
      <w:r>
        <w:t>Aux termes de l' art. 136 let . d OJ, la demande de révision d'un arrêt du Tribunal fédéral est recevable lorsque, par inadvertance, le tribunal n'a pas apprécié des faits importants qui ressortent du dossier. Le verbe "apprécier", utilisé dans le texte français, est ambigu (de même, dans le texte italien, le verbe "apprezzare"); le terme allemand - "berücksichtigen", prendre en considération - rend mieux le sens de la loi ( ATF 96 I 279 consid. 3; cf. JEAN-FRANÇOIS POUDRET, Commentaire de la loi fédérale d'organisation judiciaire, vol. V, Berne 1992, n. 5 ad art. 136 OJ ).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BGE 122 II 17 S. 19 L'inadvertance doit se rapporter au contenu même du fait, à sa perception par le tribunal, mais non pas à son appréciation juridique; elle consiste soit à méconnaître, soit à déformer un fait ou une pièce ( ATF 115 II 399 , ATF 96 I 279 consid. 3; arrêt non publié du 25 mars 1992 reproduit in SJ 1992 p. 400, consid. 2a; Poudret, op.cit., ch. 5.4 ad art. 136 OJ ; ROLANDO FORNI, Svista manifesta, fatti nuovi e prove nuove nella procedura di revisione, in Festschrift Max Guldener, Zurich 1973, p. 91 ss). La révision n'entre donc pas en considération lorsque c'est sciemment que le juge a refusé de tenir compte d'un certain fait, parce qu'il le tenait pour non décisif, car un tel refus relève du droit ( ATF 96 I 279 consid. 3; FORNI, op.cit., p. 94/95, avec des références à des arrêts non publiés). Enfin, le motif de révision de l' art. 136 let . d OJ ne peut être invoqué que si les faits qui n'ont pas été pris en considération sont "importants" (dans le texte allemand: "erhebliche Tatsachen"): il doit s'agir de faits pertinents, susceptibles d'entraîner une décision différente de celle qui a été prise et plus favorable au requérant ( ATF 115 II 399 , ATF 101 Ib 220 consid. 1, ATF 96 I 279 consid. 3 in fine; POUDRET, op.cit., n. 5.3. ad art. 136 OJ ; WILHELM BIRCHMEIER, Bundesrechtspflege, Zurich 1950, p. 503).</w:t>
      </w:r>
    </w:p>
    <w:p>
      <w:r>
        <w:rPr>
          <w:b/>
        </w:rPr>
        <w:t>E. 4</w:t>
      </w:r>
    </w:p>
    <w:p>
      <w:r>
        <w:t>à 6.-: Pas d'inadvertance au sens de l' art. 136 let . d OJ en l'espèce. Les données de fait invoquées par les requérants n'ont pas été ignorées par le Tribunal fédéral, mais elles ont été considérées comme non décisives.)</w:t>
      </w:r>
    </w:p>
    <w:p>
      <w:r>
        <w:rPr>
          <w:b/>
        </w:rPr>
        <w:t>E. 7</w:t>
      </w:r>
    </w:p>
    <w:p>
      <w:r>
        <w:t>Dans l'hypothèse où les faits invoqués par les requérants auraient dû amener le Tribunal fédéral à considérer que la délimitation de la zone de bruit B du plan de 1987 était toujours valable, encore eût-il fallu, pour admettre les demandes de révision, que ce régime juridique leur fût plus favorable. a) L'application, aux terrains des requérants, des règles de la zone de bruit C - qui n'interdisent en définitive que les nouveaux bâtiments d'habitation ou écoles non insonorisés, ainsi que les hôpitaux et les homes - est en principe moins restrictive que l'application des règles de la zone de bruit B, dans laquelle les nouveaux bâtiments d'habitation, même insonorisés, ne peuvent être autorisés ( art. 42 OSIA ; cf. ATF 121 II 317 consid. 12b et 13 p. 345 ss). b) Les requérants font néanmoins valoir que, concrètement, il est impossible que leurs biens-fonds soient utilisés ou aliénés en vue de la construction de logements. Aussi l'allocation d'une indemnité pour expropriation matérielle, en raison des restrictions frappant les terrains BGE 122 II 17 S. 20 de la zone de bruit B, leur serait-elle en définitive plus favorable qu'un jugement constatant que les normes régissant la zone de bruit C sont applicables. Dans l'arrêt dont la révision est demandée, le Tribunal fédéral a laissé expressément indécise la question de savoir si le classement dans une zone de bruit A ou B pouvait être constitutif d'expropriation matérielle. Il se justifie, dans le présent arrêt, de répondre partiellement à cette question, pour ce qui concerne uniquement le classement dans la zone de bruit B de terrains voisins de l'aéroport de Genève, ouvert au trafic aérien longtemps avant l'adoption du plan litigieux. Le plan des zones de bruit, entré en vigueur en septembre 1987, se borne à constater qu'en raison des nuisances préexistantes, provoquées par l'exploitation de l'aéroport, les terrains pour lesquels l'indice d'exposition au bruit est supérieur à 55 NNI (selon les critères des art. 1er ss de l'ordonnance du 23 novembre 1973 concernant les zones de bruit des aéroports de Bâle-Mulhouse, Genève-Cointrin et Zurich; RS 748.134.2) sont totalement impropres à la construction de maisons d'habitation. Il s'agit d'une simple constatation d'une situation objective et les conséquences juridiques qui en découlent trouvent leur justification dans la nécessité de protéger la santé publique. Lorsqu'une restriction à la possibilité de bâtir est fondée sur de tels motifs, ou plus généralement sur les dangers auxquels seraient exposés les habitants si la construction était autorisée - il est indifférent que les risques soient d'origine naturelle, tels les dangers d'avalanches, ou qu'ils proviennent de l'exploitation d'une installation par des tiers -, les conditions à l'octroi d'une indemnité d'expropriation matérielle ne sont en principe pas réunies (cf. ATF 120 Ib 76 consid. 5a, ATF 114 Ia 245 consid. 5; arrêt non publié du 30 mai 1979 reproduit in ZBl 81/1980 p. 354 consid. 6). Si l'expropriation matérielle est exclue, la possibilité d'une expropriation formelle des droits de voisinage demeure néanmoins réservée, le cas échéant, aux conditions posées par la jurisprudence (cf. ATF 116 Ib 11 consid. 2). Cette question a déjà été résolue dans la cause Jeanneret; en revanche, dans les causes T. &amp; consorts et consorts F., le Tribunal fédéral a précisément ordonné des mesures d'instruction complémentaires sur ce point. Dès lors, si le Tribunal fédéral n'avait pas procédé à un examen préjudiciel du plan des zones de bruit de l'aéroport, le résultat n'aurait pas été plus favorable, pour les requérants, que celui qui découle de l'arrêt rendu le 12 juillet 1995. Pour ce motif également, les demandes sont mal 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